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00" w:rsidRDefault="00130900" w:rsidP="00FB07B6">
      <w:pPr>
        <w:spacing w:line="480" w:lineRule="auto"/>
        <w:rPr>
          <w:rFonts w:ascii="Times New Roman" w:hAnsi="Times New Roman" w:cs="Times New Roman"/>
          <w:sz w:val="24"/>
          <w:szCs w:val="24"/>
        </w:rPr>
      </w:pPr>
      <w:bookmarkStart w:id="0" w:name="_GoBack"/>
      <w:bookmarkEnd w:id="0"/>
    </w:p>
    <w:p w:rsidR="00FB07B6" w:rsidRDefault="00FB07B6" w:rsidP="00FB07B6">
      <w:pPr>
        <w:spacing w:line="480" w:lineRule="auto"/>
        <w:rPr>
          <w:rFonts w:ascii="Times New Roman" w:hAnsi="Times New Roman" w:cs="Times New Roman"/>
          <w:sz w:val="24"/>
          <w:szCs w:val="24"/>
        </w:rPr>
      </w:pPr>
    </w:p>
    <w:p w:rsidR="0065496F" w:rsidRDefault="00B1301F" w:rsidP="0065496F">
      <w:pPr>
        <w:spacing w:line="480" w:lineRule="auto"/>
        <w:jc w:val="center"/>
        <w:rPr>
          <w:rFonts w:ascii="Times New Roman" w:hAnsi="Times New Roman" w:cs="Times New Roman"/>
          <w:sz w:val="24"/>
          <w:szCs w:val="24"/>
        </w:rPr>
      </w:pPr>
      <w:r>
        <w:rPr>
          <w:rFonts w:ascii="Times New Roman" w:hAnsi="Times New Roman" w:cs="Times New Roman"/>
          <w:sz w:val="24"/>
          <w:szCs w:val="24"/>
        </w:rPr>
        <w:t>Position of Women i</w:t>
      </w:r>
      <w:r w:rsidRPr="00B1301F">
        <w:rPr>
          <w:rFonts w:ascii="Times New Roman" w:hAnsi="Times New Roman" w:cs="Times New Roman"/>
          <w:sz w:val="24"/>
          <w:szCs w:val="24"/>
        </w:rPr>
        <w:t>n Society</w:t>
      </w:r>
      <w:r>
        <w:rPr>
          <w:rFonts w:ascii="Times New Roman" w:hAnsi="Times New Roman" w:cs="Times New Roman"/>
          <w:sz w:val="24"/>
          <w:szCs w:val="24"/>
        </w:rPr>
        <w:t>.</w:t>
      </w:r>
    </w:p>
    <w:p w:rsidR="00B1301F" w:rsidRDefault="00B1301F" w:rsidP="00B1301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rsidR="0065496F" w:rsidRDefault="0065496F" w:rsidP="00B1301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1301F" w:rsidRDefault="00B1301F" w:rsidP="00B1301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FB07B6">
      <w:pPr>
        <w:spacing w:line="480" w:lineRule="auto"/>
        <w:rPr>
          <w:rFonts w:ascii="Times New Roman" w:hAnsi="Times New Roman" w:cs="Times New Roman"/>
          <w:sz w:val="24"/>
          <w:szCs w:val="24"/>
        </w:rPr>
      </w:pPr>
    </w:p>
    <w:p w:rsidR="00FB07B6" w:rsidRDefault="00FB07B6" w:rsidP="0055222B">
      <w:pPr>
        <w:spacing w:line="480" w:lineRule="auto"/>
        <w:rPr>
          <w:rFonts w:ascii="Times New Roman" w:hAnsi="Times New Roman" w:cs="Times New Roman"/>
          <w:sz w:val="24"/>
          <w:szCs w:val="24"/>
        </w:rPr>
      </w:pPr>
    </w:p>
    <w:p w:rsidR="0055222B" w:rsidRDefault="0055222B" w:rsidP="0055222B">
      <w:pPr>
        <w:spacing w:line="480" w:lineRule="auto"/>
        <w:rPr>
          <w:rFonts w:ascii="Times New Roman" w:hAnsi="Times New Roman" w:cs="Times New Roman"/>
          <w:sz w:val="24"/>
          <w:szCs w:val="24"/>
        </w:rPr>
      </w:pPr>
    </w:p>
    <w:p w:rsidR="001B0D9D" w:rsidRPr="00FB07B6" w:rsidRDefault="00FF1620" w:rsidP="00FB07B6">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lastRenderedPageBreak/>
        <w:t>Societies are established based on common foundations of law that all society members have agreed upon. Other cultures and traditional beliefs, such as women's plight, are passed from one generation to another. Different societies had their view on women, me</w:t>
      </w:r>
      <w:r w:rsidR="00746B68" w:rsidRPr="00FB07B6">
        <w:rPr>
          <w:rFonts w:ascii="Times New Roman" w:hAnsi="Times New Roman" w:cs="Times New Roman"/>
          <w:sz w:val="24"/>
          <w:szCs w:val="24"/>
        </w:rPr>
        <w:t>n, and children in society. S</w:t>
      </w:r>
      <w:r w:rsidRPr="00FB07B6">
        <w:rPr>
          <w:rFonts w:ascii="Times New Roman" w:hAnsi="Times New Roman" w:cs="Times New Roman"/>
          <w:sz w:val="24"/>
          <w:szCs w:val="24"/>
        </w:rPr>
        <w:t>ome of these views became to become laws and traditions that are well-rooted until it is hard to introduce any other view contrary to cultural and traditional practices</w:t>
      </w:r>
      <w:r w:rsidR="00FB07B6">
        <w:rPr>
          <w:rStyle w:val="FootnoteReference"/>
          <w:rFonts w:ascii="Times New Roman" w:hAnsi="Times New Roman" w:cs="Times New Roman"/>
          <w:sz w:val="24"/>
          <w:szCs w:val="24"/>
        </w:rPr>
        <w:footnoteReference w:id="1"/>
      </w:r>
      <w:r w:rsidRPr="00FB07B6">
        <w:rPr>
          <w:rFonts w:ascii="Times New Roman" w:hAnsi="Times New Roman" w:cs="Times New Roman"/>
          <w:sz w:val="24"/>
          <w:szCs w:val="24"/>
        </w:rPr>
        <w:t xml:space="preserve">. The law in the ancient, Babylonian, </w:t>
      </w:r>
      <w:r w:rsidR="00746B68" w:rsidRPr="00FB07B6">
        <w:rPr>
          <w:rFonts w:ascii="Times New Roman" w:hAnsi="Times New Roman" w:cs="Times New Roman"/>
          <w:sz w:val="24"/>
          <w:szCs w:val="24"/>
        </w:rPr>
        <w:t>Hebrew and Vedic societies had some common approaches to women's issues. The Hebrew was an illustration that would show how society viewed women and other things that concerned them. This essay will discuss how similar the mentioned societies regarded women according to their laws and traditions.</w:t>
      </w:r>
    </w:p>
    <w:p w:rsidR="00746B68" w:rsidRPr="00FB07B6" w:rsidRDefault="00FF1620" w:rsidP="00FB07B6">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t xml:space="preserve">Ancient societies were </w:t>
      </w:r>
      <w:r w:rsidR="002725DD" w:rsidRPr="00FB07B6">
        <w:rPr>
          <w:rFonts w:ascii="Times New Roman" w:hAnsi="Times New Roman" w:cs="Times New Roman"/>
          <w:sz w:val="24"/>
          <w:szCs w:val="24"/>
        </w:rPr>
        <w:t>patriarchal</w:t>
      </w:r>
      <w:r w:rsidRPr="00FB07B6">
        <w:rPr>
          <w:rFonts w:ascii="Times New Roman" w:hAnsi="Times New Roman" w:cs="Times New Roman"/>
          <w:sz w:val="24"/>
          <w:szCs w:val="24"/>
        </w:rPr>
        <w:t xml:space="preserve"> and considered a man to be more important compared to women. The men were given the prestigious functions and had control of the women in society. Leadership was male-dominated, while women's role was limited to domestic and parenting roles at the family level. Since then, women have </w:t>
      </w:r>
      <w:r w:rsidR="002725DD" w:rsidRPr="00FB07B6">
        <w:rPr>
          <w:rFonts w:ascii="Times New Roman" w:hAnsi="Times New Roman" w:cs="Times New Roman"/>
          <w:sz w:val="24"/>
          <w:szCs w:val="24"/>
        </w:rPr>
        <w:t xml:space="preserve">focused on fighting against </w:t>
      </w:r>
      <w:r w:rsidR="00007C68" w:rsidRPr="00FB07B6">
        <w:rPr>
          <w:rFonts w:ascii="Times New Roman" w:hAnsi="Times New Roman" w:cs="Times New Roman"/>
          <w:sz w:val="24"/>
          <w:szCs w:val="24"/>
        </w:rPr>
        <w:t>this discriminative culture</w:t>
      </w:r>
      <w:r w:rsidR="002725DD" w:rsidRPr="00FB07B6">
        <w:rPr>
          <w:rFonts w:ascii="Times New Roman" w:hAnsi="Times New Roman" w:cs="Times New Roman"/>
          <w:sz w:val="24"/>
          <w:szCs w:val="24"/>
        </w:rPr>
        <w:t xml:space="preserve"> in vain until the recent success in the early 20</w:t>
      </w:r>
      <w:r w:rsidR="002725DD" w:rsidRPr="00FB07B6">
        <w:rPr>
          <w:rFonts w:ascii="Times New Roman" w:hAnsi="Times New Roman" w:cs="Times New Roman"/>
          <w:sz w:val="24"/>
          <w:szCs w:val="24"/>
          <w:vertAlign w:val="superscript"/>
        </w:rPr>
        <w:t>th</w:t>
      </w:r>
      <w:r w:rsidR="002725DD" w:rsidRPr="00FB07B6">
        <w:rPr>
          <w:rFonts w:ascii="Times New Roman" w:hAnsi="Times New Roman" w:cs="Times New Roman"/>
          <w:sz w:val="24"/>
          <w:szCs w:val="24"/>
        </w:rPr>
        <w:t xml:space="preserve"> century. Although women's role in societies was considered to be less important, they played a major role in the civilizations of these societies</w:t>
      </w:r>
      <w:r w:rsidR="00FB07B6">
        <w:rPr>
          <w:rStyle w:val="FootnoteReference"/>
          <w:rFonts w:ascii="Times New Roman" w:hAnsi="Times New Roman" w:cs="Times New Roman"/>
          <w:sz w:val="24"/>
          <w:szCs w:val="24"/>
        </w:rPr>
        <w:t>1</w:t>
      </w:r>
      <w:r w:rsidR="002725DD" w:rsidRPr="00FB07B6">
        <w:rPr>
          <w:rFonts w:ascii="Times New Roman" w:hAnsi="Times New Roman" w:cs="Times New Roman"/>
          <w:sz w:val="24"/>
          <w:szCs w:val="24"/>
        </w:rPr>
        <w:t xml:space="preserve">. The Hebrew law had specific rules, but its implementation was skewed towards punishing women more than the men would be punished when they violated the law. Some societies began to modify and began incorporating women earlier than others, which may be according to civilization's rate. </w:t>
      </w:r>
    </w:p>
    <w:p w:rsidR="002725DD" w:rsidRPr="00FB07B6" w:rsidRDefault="00FF1620" w:rsidP="00FB07B6">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t xml:space="preserve">The Hebrew </w:t>
      </w:r>
      <w:r w:rsidR="00007C68" w:rsidRPr="00FB07B6">
        <w:rPr>
          <w:rFonts w:ascii="Times New Roman" w:hAnsi="Times New Roman" w:cs="Times New Roman"/>
          <w:sz w:val="24"/>
          <w:szCs w:val="24"/>
        </w:rPr>
        <w:t>laws reveal</w:t>
      </w:r>
      <w:r w:rsidRPr="00FB07B6">
        <w:rPr>
          <w:rFonts w:ascii="Times New Roman" w:hAnsi="Times New Roman" w:cs="Times New Roman"/>
          <w:sz w:val="24"/>
          <w:szCs w:val="24"/>
        </w:rPr>
        <w:t xml:space="preserve"> the </w:t>
      </w:r>
      <w:r w:rsidR="00007C68" w:rsidRPr="00FB07B6">
        <w:rPr>
          <w:rFonts w:ascii="Times New Roman" w:hAnsi="Times New Roman" w:cs="Times New Roman"/>
          <w:sz w:val="24"/>
          <w:szCs w:val="24"/>
        </w:rPr>
        <w:t xml:space="preserve">patriarchal societies that were being practiced among the Hebrews. The rule was general and stated the acceptable code of behavior and what was not </w:t>
      </w:r>
      <w:r w:rsidR="00007C68" w:rsidRPr="00FB07B6">
        <w:rPr>
          <w:rFonts w:ascii="Times New Roman" w:hAnsi="Times New Roman" w:cs="Times New Roman"/>
          <w:sz w:val="24"/>
          <w:szCs w:val="24"/>
        </w:rPr>
        <w:lastRenderedPageBreak/>
        <w:t xml:space="preserve">permitted in Hebrew society. The consequences of engaging in a disallowed behavior in society were spelled out but still portrayed a level of patriarchy. One of the main laws among the Hebrews is the </w:t>
      </w:r>
      <w:r w:rsidR="00FB07B6" w:rsidRPr="00FB07B6">
        <w:rPr>
          <w:rFonts w:ascii="Times New Roman" w:hAnsi="Times New Roman" w:cs="Times New Roman"/>
          <w:sz w:val="24"/>
          <w:szCs w:val="24"/>
        </w:rPr>
        <w:t>Ten Commandments</w:t>
      </w:r>
      <w:r w:rsidR="00007C68" w:rsidRPr="00FB07B6">
        <w:rPr>
          <w:rFonts w:ascii="Times New Roman" w:hAnsi="Times New Roman" w:cs="Times New Roman"/>
          <w:sz w:val="24"/>
          <w:szCs w:val="24"/>
        </w:rPr>
        <w:t xml:space="preserve"> because they strictly adhered to Judaism. Judaism was also one of the avenues that also nurtured the patriarchal society based on its</w:t>
      </w:r>
      <w:r w:rsidR="00FB07B6">
        <w:rPr>
          <w:rFonts w:ascii="Times New Roman" w:hAnsi="Times New Roman" w:cs="Times New Roman"/>
          <w:sz w:val="24"/>
          <w:szCs w:val="24"/>
        </w:rPr>
        <w:t xml:space="preserve"> influence on society members i</w:t>
      </w:r>
      <w:r w:rsidR="00007C68" w:rsidRPr="00FB07B6">
        <w:rPr>
          <w:rFonts w:ascii="Times New Roman" w:hAnsi="Times New Roman" w:cs="Times New Roman"/>
          <w:sz w:val="24"/>
          <w:szCs w:val="24"/>
        </w:rPr>
        <w:t xml:space="preserve">n Hebrew society. Women were expected to adhere to all the commandments that prohibited some actions towards others or society. </w:t>
      </w:r>
      <w:r w:rsidR="00830B89" w:rsidRPr="00FB07B6">
        <w:rPr>
          <w:rFonts w:ascii="Times New Roman" w:hAnsi="Times New Roman" w:cs="Times New Roman"/>
          <w:sz w:val="24"/>
          <w:szCs w:val="24"/>
        </w:rPr>
        <w:t>"Though shall not commit adultery" was expected to apply to only women, and men who did not adhere to commandment would not be punished or face the shame that was faced by women</w:t>
      </w:r>
      <w:r w:rsidR="00714A82">
        <w:rPr>
          <w:rStyle w:val="FootnoteReference"/>
          <w:rFonts w:ascii="Times New Roman" w:hAnsi="Times New Roman" w:cs="Times New Roman"/>
          <w:sz w:val="24"/>
          <w:szCs w:val="24"/>
        </w:rPr>
        <w:footnoteReference w:id="2"/>
      </w:r>
      <w:r w:rsidR="00830B89" w:rsidRPr="00FB07B6">
        <w:rPr>
          <w:rFonts w:ascii="Times New Roman" w:hAnsi="Times New Roman" w:cs="Times New Roman"/>
          <w:sz w:val="24"/>
          <w:szCs w:val="24"/>
        </w:rPr>
        <w:t>. Other laws in the Hebrew society gave men some privileges that their women counterparts would not enjoy.</w:t>
      </w:r>
    </w:p>
    <w:p w:rsidR="007519C8" w:rsidRPr="00FB07B6" w:rsidRDefault="00FF1620" w:rsidP="00FB07B6">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t xml:space="preserve">The family and marriage laws in Hebrew and other societies near the east were discriminative and favorable to men over the women. Marriage was conducted according to cultural practices and the laws that regulated marriage issues </w:t>
      </w:r>
      <w:r w:rsidR="009D3302" w:rsidRPr="00FB07B6">
        <w:rPr>
          <w:rFonts w:ascii="Times New Roman" w:hAnsi="Times New Roman" w:cs="Times New Roman"/>
          <w:sz w:val="24"/>
          <w:szCs w:val="24"/>
        </w:rPr>
        <w:t xml:space="preserve">and ceremonies in society. </w:t>
      </w:r>
      <w:r w:rsidRPr="00FB07B6">
        <w:rPr>
          <w:rFonts w:ascii="Times New Roman" w:hAnsi="Times New Roman" w:cs="Times New Roman"/>
          <w:sz w:val="24"/>
          <w:szCs w:val="24"/>
        </w:rPr>
        <w:t>In Hebrew, marriage was considered to both a religious and cultural ceremony that was</w:t>
      </w:r>
      <w:r w:rsidR="009D3302" w:rsidRPr="00FB07B6">
        <w:rPr>
          <w:rFonts w:ascii="Times New Roman" w:hAnsi="Times New Roman" w:cs="Times New Roman"/>
          <w:sz w:val="24"/>
          <w:szCs w:val="24"/>
        </w:rPr>
        <w:t xml:space="preserve"> revered by all members of s</w:t>
      </w:r>
      <w:r w:rsidRPr="00FB07B6">
        <w:rPr>
          <w:rFonts w:ascii="Times New Roman" w:hAnsi="Times New Roman" w:cs="Times New Roman"/>
          <w:sz w:val="24"/>
          <w:szCs w:val="24"/>
        </w:rPr>
        <w:t>ociety</w:t>
      </w:r>
      <w:r w:rsidR="00FB07B6">
        <w:rPr>
          <w:rStyle w:val="FootnoteReference"/>
          <w:rFonts w:ascii="Times New Roman" w:hAnsi="Times New Roman" w:cs="Times New Roman"/>
          <w:sz w:val="24"/>
          <w:szCs w:val="24"/>
        </w:rPr>
        <w:footnoteReference w:id="3"/>
      </w:r>
      <w:r w:rsidRPr="00FB07B6">
        <w:rPr>
          <w:rFonts w:ascii="Times New Roman" w:hAnsi="Times New Roman" w:cs="Times New Roman"/>
          <w:sz w:val="24"/>
          <w:szCs w:val="24"/>
        </w:rPr>
        <w:t xml:space="preserve">. </w:t>
      </w:r>
      <w:r w:rsidR="009D3302" w:rsidRPr="00FB07B6">
        <w:rPr>
          <w:rFonts w:ascii="Times New Roman" w:hAnsi="Times New Roman" w:cs="Times New Roman"/>
          <w:sz w:val="24"/>
          <w:szCs w:val="24"/>
        </w:rPr>
        <w:t xml:space="preserve">There were established laws on how married women and men were supposed to conduct themselves throughout their married life as they also met their responsibilities to society. The marriage laws allowed men to divorce their wives whenever they felt necessary, but the women required their husbands' consent before a divorce is conducted. This indicates there were discriminative marriage laws in the Babylonian and the Vedic societies, which had so much in common with the Hebrews. </w:t>
      </w:r>
      <w:r w:rsidRPr="00FB07B6">
        <w:rPr>
          <w:rFonts w:ascii="Times New Roman" w:hAnsi="Times New Roman" w:cs="Times New Roman"/>
          <w:sz w:val="24"/>
          <w:szCs w:val="24"/>
        </w:rPr>
        <w:t xml:space="preserve">Levirate marriage was also practiced to the </w:t>
      </w:r>
      <w:r w:rsidRPr="00FB07B6">
        <w:rPr>
          <w:rFonts w:ascii="Times New Roman" w:hAnsi="Times New Roman" w:cs="Times New Roman"/>
          <w:sz w:val="24"/>
          <w:szCs w:val="24"/>
        </w:rPr>
        <w:lastRenderedPageBreak/>
        <w:t>women who had been widowed or did not have children, but this ceremony was not conducted upon the widowers who did not have children.</w:t>
      </w:r>
    </w:p>
    <w:p w:rsidR="00A54A5F" w:rsidRPr="00FB07B6" w:rsidRDefault="00FF1620" w:rsidP="00FB07B6">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t>In Hebrew society, women were only provided with informal education as the law only gave them responsibilities about the household and family matters. They would therefore acquire this education at home through role-playing as their elders also directed them. In the Babylonian and the Videc societies, women were also not provided with higher education as there was no high position they would be expected to hold. The women were sidelined in almost all ancient societies. The best education that women would attain would only allow them to assist their husbands in doing their business. This resu</w:t>
      </w:r>
      <w:r w:rsidR="0010765B" w:rsidRPr="00FB07B6">
        <w:rPr>
          <w:rFonts w:ascii="Times New Roman" w:hAnsi="Times New Roman" w:cs="Times New Roman"/>
          <w:sz w:val="24"/>
          <w:szCs w:val="24"/>
        </w:rPr>
        <w:t>lts from the high level of patriarchy</w:t>
      </w:r>
      <w:r w:rsidRPr="00FB07B6">
        <w:rPr>
          <w:rFonts w:ascii="Times New Roman" w:hAnsi="Times New Roman" w:cs="Times New Roman"/>
          <w:sz w:val="24"/>
          <w:szCs w:val="24"/>
        </w:rPr>
        <w:t xml:space="preserve"> that </w:t>
      </w:r>
      <w:r w:rsidR="0010765B" w:rsidRPr="00FB07B6">
        <w:rPr>
          <w:rFonts w:ascii="Times New Roman" w:hAnsi="Times New Roman" w:cs="Times New Roman"/>
          <w:sz w:val="24"/>
          <w:szCs w:val="24"/>
        </w:rPr>
        <w:t xml:space="preserve">women's personal development was not considered as their gender had already predetermined their fate. Women were considered to the objects for men to use for household functions and assist in the business.  </w:t>
      </w:r>
    </w:p>
    <w:p w:rsidR="000A66B8" w:rsidRDefault="00FF1620" w:rsidP="000A66B8">
      <w:pPr>
        <w:spacing w:line="480" w:lineRule="auto"/>
        <w:ind w:firstLine="720"/>
        <w:rPr>
          <w:rFonts w:ascii="Times New Roman" w:hAnsi="Times New Roman" w:cs="Times New Roman"/>
          <w:sz w:val="24"/>
          <w:szCs w:val="24"/>
        </w:rPr>
      </w:pPr>
      <w:r w:rsidRPr="00FB07B6">
        <w:rPr>
          <w:rFonts w:ascii="Times New Roman" w:hAnsi="Times New Roman" w:cs="Times New Roman"/>
          <w:sz w:val="24"/>
          <w:szCs w:val="24"/>
        </w:rPr>
        <w:t xml:space="preserve">The laws of Hebrews and that of Babylonian and Vedic </w:t>
      </w:r>
      <w:r w:rsidR="00714A82" w:rsidRPr="00FB07B6">
        <w:rPr>
          <w:rFonts w:ascii="Times New Roman" w:hAnsi="Times New Roman" w:cs="Times New Roman"/>
          <w:sz w:val="24"/>
          <w:szCs w:val="24"/>
        </w:rPr>
        <w:t>have</w:t>
      </w:r>
      <w:r w:rsidRPr="00FB07B6">
        <w:rPr>
          <w:rFonts w:ascii="Times New Roman" w:hAnsi="Times New Roman" w:cs="Times New Roman"/>
          <w:sz w:val="24"/>
          <w:szCs w:val="24"/>
        </w:rPr>
        <w:t xml:space="preserve"> shown evidence about the practice of dowry payment to the family </w:t>
      </w:r>
      <w:r w:rsidR="00714A82">
        <w:rPr>
          <w:rFonts w:ascii="Times New Roman" w:hAnsi="Times New Roman" w:cs="Times New Roman"/>
          <w:sz w:val="24"/>
          <w:szCs w:val="24"/>
        </w:rPr>
        <w:t>that the bride is coming from. T</w:t>
      </w:r>
      <w:r w:rsidRPr="00FB07B6">
        <w:rPr>
          <w:rFonts w:ascii="Times New Roman" w:hAnsi="Times New Roman" w:cs="Times New Roman"/>
          <w:sz w:val="24"/>
          <w:szCs w:val="24"/>
        </w:rPr>
        <w:t>he ancient society such as Hebrews draws the practice from the time of Jacob's case as he had to work for the payment of a dowry for Rachel</w:t>
      </w:r>
      <w:r w:rsidR="00714A82">
        <w:rPr>
          <w:rStyle w:val="FootnoteReference"/>
          <w:rFonts w:ascii="Times New Roman" w:hAnsi="Times New Roman" w:cs="Times New Roman"/>
          <w:sz w:val="24"/>
          <w:szCs w:val="24"/>
        </w:rPr>
        <w:footnoteReference w:id="4"/>
      </w:r>
      <w:r w:rsidRPr="00FB07B6">
        <w:rPr>
          <w:rFonts w:ascii="Times New Roman" w:hAnsi="Times New Roman" w:cs="Times New Roman"/>
          <w:sz w:val="24"/>
          <w:szCs w:val="24"/>
        </w:rPr>
        <w:t xml:space="preserve">. The Babylonian </w:t>
      </w:r>
      <w:r w:rsidR="00AD49EE" w:rsidRPr="00FB07B6">
        <w:rPr>
          <w:rFonts w:ascii="Times New Roman" w:hAnsi="Times New Roman" w:cs="Times New Roman"/>
          <w:sz w:val="24"/>
          <w:szCs w:val="24"/>
        </w:rPr>
        <w:t>laws regulated the bride price. The laws state that in case of breaking the marriage agreement by either the bride or the groom, the prospective father to the bride would return twofold of the dowry paid to the groom or their parents. This focused on marriage's economic issues and the solution to situations that would lead to disagreements based on the dowry price. The dowry price indicates that the woman was now a property of the groom and had to</w:t>
      </w:r>
      <w:r w:rsidR="000A66B8">
        <w:rPr>
          <w:rFonts w:ascii="Times New Roman" w:hAnsi="Times New Roman" w:cs="Times New Roman"/>
          <w:sz w:val="24"/>
          <w:szCs w:val="24"/>
        </w:rPr>
        <w:t xml:space="preserve"> adhere to the laws' provisions.</w:t>
      </w:r>
    </w:p>
    <w:p w:rsidR="00FB07B6" w:rsidRPr="00FB07B6" w:rsidRDefault="0065496F" w:rsidP="000A66B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r w:rsidR="00FB07B6">
        <w:rPr>
          <w:rFonts w:ascii="Times New Roman" w:hAnsi="Times New Roman" w:cs="Times New Roman"/>
          <w:sz w:val="24"/>
          <w:szCs w:val="24"/>
        </w:rPr>
        <w:t>.</w:t>
      </w:r>
    </w:p>
    <w:p w:rsidR="00FB07B6" w:rsidRPr="00FB07B6" w:rsidRDefault="00FB07B6" w:rsidP="00FB07B6">
      <w:pPr>
        <w:spacing w:line="480" w:lineRule="auto"/>
        <w:rPr>
          <w:rFonts w:ascii="Times New Roman" w:hAnsi="Times New Roman" w:cs="Times New Roman"/>
          <w:sz w:val="24"/>
          <w:szCs w:val="24"/>
        </w:rPr>
      </w:pPr>
      <w:r w:rsidRPr="00FB07B6">
        <w:rPr>
          <w:rFonts w:ascii="Times New Roman" w:hAnsi="Times New Roman" w:cs="Times New Roman"/>
          <w:sz w:val="24"/>
          <w:szCs w:val="24"/>
        </w:rPr>
        <w:t>Peled, Ilan. </w:t>
      </w:r>
      <w:r w:rsidRPr="00FB07B6">
        <w:rPr>
          <w:rFonts w:ascii="Times New Roman" w:hAnsi="Times New Roman" w:cs="Times New Roman"/>
          <w:i/>
          <w:iCs/>
          <w:sz w:val="24"/>
          <w:szCs w:val="24"/>
        </w:rPr>
        <w:t>Law and gender in the Ancient Near East and the Hebrew Bible</w:t>
      </w:r>
      <w:r w:rsidRPr="00FB07B6">
        <w:rPr>
          <w:rFonts w:ascii="Times New Roman" w:hAnsi="Times New Roman" w:cs="Times New Roman"/>
          <w:sz w:val="24"/>
          <w:szCs w:val="24"/>
        </w:rPr>
        <w:t>. Routledge, 2019.</w:t>
      </w:r>
    </w:p>
    <w:p w:rsidR="00FB07B6" w:rsidRPr="00FB07B6" w:rsidRDefault="00FB07B6" w:rsidP="00FB07B6">
      <w:pPr>
        <w:spacing w:line="480" w:lineRule="auto"/>
        <w:rPr>
          <w:rFonts w:ascii="Times New Roman" w:hAnsi="Times New Roman" w:cs="Times New Roman"/>
          <w:sz w:val="24"/>
          <w:szCs w:val="24"/>
        </w:rPr>
      </w:pPr>
      <w:r w:rsidRPr="00FB07B6">
        <w:rPr>
          <w:rFonts w:ascii="Times New Roman" w:hAnsi="Times New Roman" w:cs="Times New Roman"/>
          <w:sz w:val="24"/>
          <w:szCs w:val="24"/>
        </w:rPr>
        <w:t>Greengus, Samuel. "Laws in the Hebrew Bible/Old Testament." In </w:t>
      </w:r>
      <w:r w:rsidRPr="00FB07B6">
        <w:rPr>
          <w:rFonts w:ascii="Times New Roman" w:hAnsi="Times New Roman" w:cs="Times New Roman"/>
          <w:i/>
          <w:iCs/>
          <w:sz w:val="24"/>
          <w:szCs w:val="24"/>
        </w:rPr>
        <w:t>Oxford Research Encyclopedia of Religion</w:t>
      </w:r>
      <w:r w:rsidRPr="00FB07B6">
        <w:rPr>
          <w:rFonts w:ascii="Times New Roman" w:hAnsi="Times New Roman" w:cs="Times New Roman"/>
          <w:sz w:val="24"/>
          <w:szCs w:val="24"/>
        </w:rPr>
        <w:t>. 2019.</w:t>
      </w:r>
    </w:p>
    <w:p w:rsidR="00FB07B6" w:rsidRPr="00FB07B6" w:rsidRDefault="00FB07B6" w:rsidP="00FB07B6">
      <w:pPr>
        <w:spacing w:line="480" w:lineRule="auto"/>
        <w:rPr>
          <w:rFonts w:ascii="Times New Roman" w:hAnsi="Times New Roman" w:cs="Times New Roman"/>
          <w:sz w:val="24"/>
          <w:szCs w:val="24"/>
        </w:rPr>
      </w:pPr>
      <w:r w:rsidRPr="00FB07B6">
        <w:rPr>
          <w:rFonts w:ascii="Times New Roman" w:hAnsi="Times New Roman" w:cs="Times New Roman"/>
          <w:sz w:val="24"/>
          <w:szCs w:val="24"/>
        </w:rPr>
        <w:t>Davies, Eryll Wynn. </w:t>
      </w:r>
      <w:r w:rsidRPr="00FB07B6">
        <w:rPr>
          <w:rFonts w:ascii="Times New Roman" w:hAnsi="Times New Roman" w:cs="Times New Roman"/>
          <w:i/>
          <w:iCs/>
          <w:sz w:val="24"/>
          <w:szCs w:val="24"/>
        </w:rPr>
        <w:t>The Dissenting Reader: Feminist Approaches to the Hebrew Bible: Feminist Approaches to the Hebrew Bible</w:t>
      </w:r>
      <w:r w:rsidRPr="00FB07B6">
        <w:rPr>
          <w:rFonts w:ascii="Times New Roman" w:hAnsi="Times New Roman" w:cs="Times New Roman"/>
          <w:sz w:val="24"/>
          <w:szCs w:val="24"/>
        </w:rPr>
        <w:t>. Routledge, 2019.</w:t>
      </w:r>
    </w:p>
    <w:p w:rsidR="00FB07B6" w:rsidRPr="00FB07B6" w:rsidRDefault="00FB07B6" w:rsidP="00FB07B6">
      <w:pPr>
        <w:spacing w:line="480" w:lineRule="auto"/>
        <w:rPr>
          <w:rFonts w:ascii="Times New Roman" w:hAnsi="Times New Roman" w:cs="Times New Roman"/>
          <w:sz w:val="24"/>
          <w:szCs w:val="24"/>
        </w:rPr>
      </w:pPr>
      <w:r w:rsidRPr="00FB07B6">
        <w:rPr>
          <w:rFonts w:ascii="Times New Roman" w:hAnsi="Times New Roman" w:cs="Times New Roman"/>
          <w:sz w:val="24"/>
          <w:szCs w:val="24"/>
        </w:rPr>
        <w:t>Yee, Gale A., ed. </w:t>
      </w:r>
      <w:r w:rsidRPr="00FB07B6">
        <w:rPr>
          <w:rFonts w:ascii="Times New Roman" w:hAnsi="Times New Roman" w:cs="Times New Roman"/>
          <w:i/>
          <w:iCs/>
          <w:sz w:val="24"/>
          <w:szCs w:val="24"/>
        </w:rPr>
        <w:t>The Hebrew Bible: Feminist and Intersectional Perspectives</w:t>
      </w:r>
      <w:r w:rsidRPr="00FB07B6">
        <w:rPr>
          <w:rFonts w:ascii="Times New Roman" w:hAnsi="Times New Roman" w:cs="Times New Roman"/>
          <w:sz w:val="24"/>
          <w:szCs w:val="24"/>
        </w:rPr>
        <w:t>. Fortress Press, 2018.</w:t>
      </w:r>
    </w:p>
    <w:sectPr w:rsidR="00FB07B6" w:rsidRPr="00FB07B6" w:rsidSect="00FB07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21F" w:rsidRDefault="004C221F" w:rsidP="00FB07B6">
      <w:pPr>
        <w:spacing w:after="0" w:line="240" w:lineRule="auto"/>
      </w:pPr>
      <w:r>
        <w:separator/>
      </w:r>
    </w:p>
  </w:endnote>
  <w:endnote w:type="continuationSeparator" w:id="0">
    <w:p w:rsidR="004C221F" w:rsidRDefault="004C221F" w:rsidP="00FB0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21F" w:rsidRDefault="004C221F" w:rsidP="00FB07B6">
      <w:pPr>
        <w:spacing w:after="0" w:line="240" w:lineRule="auto"/>
      </w:pPr>
      <w:r>
        <w:separator/>
      </w:r>
    </w:p>
  </w:footnote>
  <w:footnote w:type="continuationSeparator" w:id="0">
    <w:p w:rsidR="004C221F" w:rsidRDefault="004C221F" w:rsidP="00FB07B6">
      <w:pPr>
        <w:spacing w:after="0" w:line="240" w:lineRule="auto"/>
      </w:pPr>
      <w:r>
        <w:continuationSeparator/>
      </w:r>
    </w:p>
  </w:footnote>
  <w:footnote w:id="1">
    <w:p w:rsidR="00FB07B6" w:rsidRPr="00FB07B6" w:rsidRDefault="00FB07B6" w:rsidP="00FB07B6">
      <w:pPr>
        <w:pStyle w:val="FootnoteText"/>
      </w:pPr>
      <w:r>
        <w:rPr>
          <w:rStyle w:val="FootnoteReference"/>
        </w:rPr>
        <w:footnoteRef/>
      </w:r>
      <w:r>
        <w:t xml:space="preserve"> </w:t>
      </w:r>
      <w:r w:rsidRPr="00FB07B6">
        <w:t>Peled, Ilan. </w:t>
      </w:r>
      <w:r w:rsidRPr="00FB07B6">
        <w:rPr>
          <w:i/>
          <w:iCs/>
        </w:rPr>
        <w:t>Law and gender in the Ancient Near East and the Hebrew Bible</w:t>
      </w:r>
      <w:r w:rsidRPr="00FB07B6">
        <w:t>. Routledge, 2019.</w:t>
      </w:r>
    </w:p>
    <w:p w:rsidR="00FB07B6" w:rsidRDefault="00FB07B6">
      <w:pPr>
        <w:pStyle w:val="FootnoteText"/>
      </w:pPr>
    </w:p>
  </w:footnote>
  <w:footnote w:id="2">
    <w:p w:rsidR="00714A82" w:rsidRPr="00714A82" w:rsidRDefault="00714A82" w:rsidP="00714A82">
      <w:pPr>
        <w:pStyle w:val="FootnoteText"/>
      </w:pPr>
      <w:r>
        <w:rPr>
          <w:rStyle w:val="FootnoteReference"/>
        </w:rPr>
        <w:footnoteRef/>
      </w:r>
      <w:r>
        <w:t xml:space="preserve"> </w:t>
      </w:r>
      <w:r w:rsidRPr="00714A82">
        <w:t>Davies, Eryll Wynn. </w:t>
      </w:r>
      <w:r w:rsidRPr="00714A82">
        <w:rPr>
          <w:i/>
          <w:iCs/>
        </w:rPr>
        <w:t>The Dissenting Reader: Feminist Approaches to the Hebrew Bible: Feminist Approaches to the Hebrew Bible</w:t>
      </w:r>
      <w:r w:rsidRPr="00714A82">
        <w:t>. Routledge, 2019.</w:t>
      </w:r>
    </w:p>
    <w:p w:rsidR="00714A82" w:rsidRDefault="00714A82">
      <w:pPr>
        <w:pStyle w:val="FootnoteText"/>
      </w:pPr>
    </w:p>
  </w:footnote>
  <w:footnote w:id="3">
    <w:p w:rsidR="00FB07B6" w:rsidRPr="00FB07B6" w:rsidRDefault="00FB07B6" w:rsidP="00FB07B6">
      <w:pPr>
        <w:pStyle w:val="FootnoteText"/>
      </w:pPr>
      <w:r>
        <w:rPr>
          <w:rStyle w:val="FootnoteReference"/>
        </w:rPr>
        <w:footnoteRef/>
      </w:r>
      <w:r>
        <w:t xml:space="preserve"> </w:t>
      </w:r>
      <w:r w:rsidRPr="00FB07B6">
        <w:t>Greengus, Samuel. "Laws in the Hebrew Bible/Old Testament." In </w:t>
      </w:r>
      <w:r w:rsidRPr="00FB07B6">
        <w:rPr>
          <w:i/>
          <w:iCs/>
        </w:rPr>
        <w:t>Oxford Research Encyclopedia of Religion</w:t>
      </w:r>
      <w:r w:rsidRPr="00FB07B6">
        <w:t>. 2019.</w:t>
      </w:r>
    </w:p>
    <w:p w:rsidR="00FB07B6" w:rsidRDefault="00FB07B6">
      <w:pPr>
        <w:pStyle w:val="FootnoteText"/>
      </w:pPr>
    </w:p>
  </w:footnote>
  <w:footnote w:id="4">
    <w:p w:rsidR="00714A82" w:rsidRPr="00714A82" w:rsidRDefault="00714A82" w:rsidP="00714A82">
      <w:pPr>
        <w:pStyle w:val="FootnoteText"/>
      </w:pPr>
      <w:r>
        <w:rPr>
          <w:rStyle w:val="FootnoteReference"/>
        </w:rPr>
        <w:footnoteRef/>
      </w:r>
      <w:r>
        <w:t xml:space="preserve"> </w:t>
      </w:r>
      <w:r w:rsidRPr="00714A82">
        <w:t>Yee, Gale A., ed. </w:t>
      </w:r>
      <w:r w:rsidRPr="00714A82">
        <w:rPr>
          <w:i/>
          <w:iCs/>
        </w:rPr>
        <w:t>The Hebrew Bible: Feminist and Intersectional Perspectives</w:t>
      </w:r>
      <w:r w:rsidRPr="00714A82">
        <w:t>. Fortress Press, 2018.</w:t>
      </w:r>
    </w:p>
    <w:p w:rsidR="00714A82" w:rsidRDefault="00714A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3367982"/>
      <w:docPartObj>
        <w:docPartGallery w:val="Page Numbers (Top of Page)"/>
        <w:docPartUnique/>
      </w:docPartObj>
    </w:sdtPr>
    <w:sdtEndPr>
      <w:rPr>
        <w:noProof/>
      </w:rPr>
    </w:sdtEndPr>
    <w:sdtContent>
      <w:p w:rsidR="00FB07B6" w:rsidRPr="00FB07B6" w:rsidRDefault="00FB07B6">
        <w:pPr>
          <w:pStyle w:val="Header"/>
          <w:jc w:val="right"/>
          <w:rPr>
            <w:rFonts w:ascii="Times New Roman" w:hAnsi="Times New Roman" w:cs="Times New Roman"/>
            <w:sz w:val="24"/>
            <w:szCs w:val="24"/>
          </w:rPr>
        </w:pPr>
        <w:r w:rsidRPr="00FB07B6">
          <w:rPr>
            <w:rFonts w:ascii="Times New Roman" w:hAnsi="Times New Roman" w:cs="Times New Roman"/>
            <w:sz w:val="24"/>
            <w:szCs w:val="24"/>
          </w:rPr>
          <w:t>POSITION OF WOMEN IN SOCIETY</w:t>
        </w:r>
        <w:r>
          <w:rPr>
            <w:rFonts w:ascii="Times New Roman" w:hAnsi="Times New Roman" w:cs="Times New Roman"/>
            <w:sz w:val="24"/>
            <w:szCs w:val="24"/>
          </w:rPr>
          <w:t xml:space="preserve">                                                                                          </w:t>
        </w:r>
        <w:r w:rsidRPr="00FB07B6">
          <w:rPr>
            <w:rFonts w:ascii="Times New Roman" w:hAnsi="Times New Roman" w:cs="Times New Roman"/>
            <w:sz w:val="24"/>
            <w:szCs w:val="24"/>
          </w:rPr>
          <w:fldChar w:fldCharType="begin"/>
        </w:r>
        <w:r w:rsidRPr="00FB07B6">
          <w:rPr>
            <w:rFonts w:ascii="Times New Roman" w:hAnsi="Times New Roman" w:cs="Times New Roman"/>
            <w:sz w:val="24"/>
            <w:szCs w:val="24"/>
          </w:rPr>
          <w:instrText xml:space="preserve"> PAGE   \* MERGEFORMAT </w:instrText>
        </w:r>
        <w:r w:rsidRPr="00FB07B6">
          <w:rPr>
            <w:rFonts w:ascii="Times New Roman" w:hAnsi="Times New Roman" w:cs="Times New Roman"/>
            <w:sz w:val="24"/>
            <w:szCs w:val="24"/>
          </w:rPr>
          <w:fldChar w:fldCharType="separate"/>
        </w:r>
        <w:r w:rsidR="00A11A35">
          <w:rPr>
            <w:rFonts w:ascii="Times New Roman" w:hAnsi="Times New Roman" w:cs="Times New Roman"/>
            <w:noProof/>
            <w:sz w:val="24"/>
            <w:szCs w:val="24"/>
          </w:rPr>
          <w:t>5</w:t>
        </w:r>
        <w:r w:rsidRPr="00FB07B6">
          <w:rPr>
            <w:rFonts w:ascii="Times New Roman" w:hAnsi="Times New Roman" w:cs="Times New Roman"/>
            <w:noProof/>
            <w:sz w:val="24"/>
            <w:szCs w:val="24"/>
          </w:rPr>
          <w:fldChar w:fldCharType="end"/>
        </w:r>
      </w:p>
    </w:sdtContent>
  </w:sdt>
  <w:p w:rsidR="00FB07B6" w:rsidRPr="00FB07B6" w:rsidRDefault="00FB07B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7B6" w:rsidRPr="00FB07B6" w:rsidRDefault="00FB07B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B07B6">
      <w:rPr>
        <w:rFonts w:ascii="Times New Roman" w:hAnsi="Times New Roman" w:cs="Times New Roman"/>
        <w:sz w:val="24"/>
        <w:szCs w:val="24"/>
      </w:rPr>
      <w:t>POSITION OF WOMEN IN SOCIETY</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03"/>
    <w:rsid w:val="00007C68"/>
    <w:rsid w:val="0009435C"/>
    <w:rsid w:val="000A66B8"/>
    <w:rsid w:val="0010765B"/>
    <w:rsid w:val="00130900"/>
    <w:rsid w:val="001B0D9D"/>
    <w:rsid w:val="00244F03"/>
    <w:rsid w:val="002725DD"/>
    <w:rsid w:val="004C221F"/>
    <w:rsid w:val="0055222B"/>
    <w:rsid w:val="0065496F"/>
    <w:rsid w:val="00714A82"/>
    <w:rsid w:val="00746B68"/>
    <w:rsid w:val="007519C8"/>
    <w:rsid w:val="00830B89"/>
    <w:rsid w:val="009020D4"/>
    <w:rsid w:val="009D3302"/>
    <w:rsid w:val="009D5DA4"/>
    <w:rsid w:val="00A11A35"/>
    <w:rsid w:val="00A54A5F"/>
    <w:rsid w:val="00A60980"/>
    <w:rsid w:val="00A90768"/>
    <w:rsid w:val="00AD49EE"/>
    <w:rsid w:val="00B1301F"/>
    <w:rsid w:val="00BB4588"/>
    <w:rsid w:val="00D82C0D"/>
    <w:rsid w:val="00FB07B6"/>
    <w:rsid w:val="00FF1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C0331-A280-456C-A6E1-A9063595F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7B6"/>
  </w:style>
  <w:style w:type="paragraph" w:styleId="Footer">
    <w:name w:val="footer"/>
    <w:basedOn w:val="Normal"/>
    <w:link w:val="FooterChar"/>
    <w:uiPriority w:val="99"/>
    <w:unhideWhenUsed/>
    <w:rsid w:val="00FB0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7B6"/>
  </w:style>
  <w:style w:type="paragraph" w:styleId="FootnoteText">
    <w:name w:val="footnote text"/>
    <w:basedOn w:val="Normal"/>
    <w:link w:val="FootnoteTextChar"/>
    <w:uiPriority w:val="99"/>
    <w:semiHidden/>
    <w:unhideWhenUsed/>
    <w:rsid w:val="00FB07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07B6"/>
    <w:rPr>
      <w:sz w:val="20"/>
      <w:szCs w:val="20"/>
    </w:rPr>
  </w:style>
  <w:style w:type="character" w:styleId="FootnoteReference">
    <w:name w:val="footnote reference"/>
    <w:basedOn w:val="DefaultParagraphFont"/>
    <w:uiPriority w:val="99"/>
    <w:semiHidden/>
    <w:unhideWhenUsed/>
    <w:rsid w:val="00FB07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17994-9745-4FD8-BFF1-66A22BE2B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2020-09-19T01:08:00Z</dcterms:created>
  <dcterms:modified xsi:type="dcterms:W3CDTF">2020-09-19T01:08:00Z</dcterms:modified>
</cp:coreProperties>
</file>